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8"/>
        <w:gridCol w:w="4820"/>
      </w:tblGrid>
      <w:tr w:rsidR="004E27A0" w:rsidRPr="00D63683" w14:paraId="5158A982" w14:textId="77777777" w:rsidTr="00445E73">
        <w:tc>
          <w:tcPr>
            <w:tcW w:w="4818" w:type="dxa"/>
          </w:tcPr>
          <w:p w14:paraId="760C564C" w14:textId="77777777" w:rsidR="004E27A0" w:rsidRPr="00D63683" w:rsidRDefault="004E27A0" w:rsidP="00445E73">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МIНIСТЭРСТВА АДУКАЦЫI</w:t>
            </w:r>
          </w:p>
          <w:p w14:paraId="52579DB1"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0649615A"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48286933"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4E27A0" w:rsidRPr="00CB4282" w14:paraId="15891608" w14:textId="77777777" w:rsidTr="00445E73">
        <w:trPr>
          <w:trHeight w:val="1058"/>
        </w:trPr>
        <w:tc>
          <w:tcPr>
            <w:tcW w:w="4818" w:type="dxa"/>
          </w:tcPr>
          <w:p w14:paraId="516BD437" w14:textId="77777777" w:rsidR="004E27A0" w:rsidRPr="00D63683" w:rsidRDefault="004E27A0" w:rsidP="00445E73">
            <w:pPr>
              <w:pStyle w:val="ConsPlusNonformat"/>
              <w:jc w:val="center"/>
              <w:rPr>
                <w:rFonts w:ascii="Times New Roman" w:eastAsia="Calibri" w:hAnsi="Times New Roman" w:cs="Times New Roman"/>
              </w:rPr>
            </w:pPr>
          </w:p>
          <w:p w14:paraId="30B922B7"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49758D10"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14:paraId="3DB17CB3"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D09A95B"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56B2E917" w14:textId="77777777" w:rsidR="004E27A0" w:rsidRPr="00CD2977" w:rsidRDefault="004E27A0" w:rsidP="00445E73">
            <w:pPr>
              <w:pStyle w:val="ConsPlusNonformat"/>
              <w:tabs>
                <w:tab w:val="center" w:pos="0"/>
              </w:tabs>
              <w:jc w:val="center"/>
              <w:rPr>
                <w:rFonts w:ascii="Times New Roman" w:eastAsia="Calibri" w:hAnsi="Times New Roman" w:cs="Times New Roman"/>
                <w:lang w:val="en-US"/>
              </w:rPr>
            </w:pPr>
          </w:p>
          <w:p w14:paraId="28A4F9D0" w14:textId="77777777" w:rsidR="004E27A0" w:rsidRPr="00D63683" w:rsidRDefault="004E27A0" w:rsidP="00445E73">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5C106DF6"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7D57688E"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1D5308E6"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E27A0" w:rsidRPr="00D63683" w14:paraId="0A06B6FE" w14:textId="77777777" w:rsidTr="00445E73">
        <w:tc>
          <w:tcPr>
            <w:tcW w:w="4818" w:type="dxa"/>
          </w:tcPr>
          <w:p w14:paraId="471EE668" w14:textId="77777777" w:rsidR="004E27A0" w:rsidRPr="00D63683" w:rsidRDefault="004E27A0" w:rsidP="00445E73">
            <w:pPr>
              <w:pStyle w:val="ConsPlusNonformat"/>
              <w:rPr>
                <w:rFonts w:ascii="Times New Roman" w:eastAsia="Calibri" w:hAnsi="Times New Roman" w:cs="Times New Roman"/>
                <w:sz w:val="24"/>
                <w:szCs w:val="24"/>
              </w:rPr>
            </w:pPr>
            <w:r w:rsidRPr="00D63683">
              <w:rPr>
                <w:rFonts w:ascii="Times New Roman" w:eastAsia="Calibri" w:hAnsi="Times New Roman" w:cs="Times New Roman"/>
                <w:sz w:val="24"/>
                <w:szCs w:val="24"/>
              </w:rPr>
              <w:t>_______</w:t>
            </w:r>
            <w:r>
              <w:rPr>
                <w:rFonts w:ascii="Times New Roman" w:eastAsia="Calibri" w:hAnsi="Times New Roman" w:cs="Times New Roman"/>
                <w:sz w:val="24"/>
                <w:szCs w:val="24"/>
              </w:rPr>
              <w:t>__________ № ____________</w:t>
            </w:r>
          </w:p>
          <w:p w14:paraId="0779F1C9" w14:textId="77777777" w:rsidR="004E27A0" w:rsidRPr="00D63683" w:rsidRDefault="004E27A0" w:rsidP="00445E7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6C3D62DD" w14:textId="77777777" w:rsidR="004E27A0" w:rsidRPr="00D63683" w:rsidRDefault="004E27A0" w:rsidP="00445E73">
            <w:pPr>
              <w:pStyle w:val="ConsPlusNonformat"/>
              <w:rPr>
                <w:rFonts w:ascii="Times New Roman" w:eastAsia="Calibri" w:hAnsi="Times New Roman" w:cs="Times New Roman"/>
                <w:sz w:val="30"/>
                <w:szCs w:val="30"/>
                <w:lang w:val="en-US"/>
              </w:rPr>
            </w:pPr>
          </w:p>
        </w:tc>
      </w:tr>
    </w:tbl>
    <w:p w14:paraId="6FC221F2" w14:textId="39D977A4" w:rsidR="00DA47EA" w:rsidRDefault="00DA47EA" w:rsidP="00DA47EA">
      <w:pPr>
        <w:tabs>
          <w:tab w:val="left" w:pos="5954"/>
        </w:tabs>
        <w:spacing w:line="280" w:lineRule="exact"/>
        <w:ind w:right="142"/>
        <w:jc w:val="both"/>
        <w:rPr>
          <w:sz w:val="30"/>
          <w:szCs w:val="30"/>
        </w:rPr>
      </w:pPr>
    </w:p>
    <w:p w14:paraId="24154A14" w14:textId="0B239970" w:rsidR="004E27A0" w:rsidRDefault="004E27A0" w:rsidP="007137DF">
      <w:pPr>
        <w:tabs>
          <w:tab w:val="left" w:pos="5954"/>
        </w:tabs>
        <w:spacing w:before="240" w:after="240" w:line="280" w:lineRule="exact"/>
        <w:ind w:left="4536" w:right="142"/>
        <w:jc w:val="both"/>
        <w:rPr>
          <w:sz w:val="30"/>
          <w:szCs w:val="30"/>
        </w:rPr>
      </w:pPr>
      <w:r>
        <w:rPr>
          <w:sz w:val="30"/>
          <w:szCs w:val="30"/>
        </w:rPr>
        <w:t xml:space="preserve">Структурные подразделения облисполкомов, </w:t>
      </w:r>
      <w:proofErr w:type="spellStart"/>
      <w:r>
        <w:rPr>
          <w:sz w:val="30"/>
          <w:szCs w:val="30"/>
        </w:rPr>
        <w:t>Мингорисполкома</w:t>
      </w:r>
      <w:proofErr w:type="spellEnd"/>
      <w:r>
        <w:rPr>
          <w:sz w:val="30"/>
          <w:szCs w:val="30"/>
        </w:rPr>
        <w:t>, осуществляющие государственно-властные функции в сфере образования</w:t>
      </w:r>
    </w:p>
    <w:p w14:paraId="08E6B493" w14:textId="77777777" w:rsidR="004E27A0" w:rsidRDefault="004E27A0" w:rsidP="004E27A0">
      <w:pPr>
        <w:tabs>
          <w:tab w:val="left" w:pos="5954"/>
        </w:tabs>
        <w:spacing w:line="280" w:lineRule="exact"/>
        <w:ind w:left="4536" w:right="142"/>
        <w:jc w:val="both"/>
        <w:rPr>
          <w:sz w:val="30"/>
          <w:szCs w:val="30"/>
        </w:rPr>
      </w:pPr>
      <w:r>
        <w:rPr>
          <w:sz w:val="30"/>
          <w:szCs w:val="30"/>
        </w:rPr>
        <w:t>Органы государственного управления</w:t>
      </w:r>
    </w:p>
    <w:p w14:paraId="3C18DC45" w14:textId="6B781AE0" w:rsidR="004E27A0" w:rsidRDefault="004E27A0" w:rsidP="007137DF">
      <w:pPr>
        <w:tabs>
          <w:tab w:val="left" w:pos="5954"/>
        </w:tabs>
        <w:spacing w:after="240" w:line="280" w:lineRule="exact"/>
        <w:ind w:left="4536" w:right="142"/>
        <w:jc w:val="both"/>
        <w:rPr>
          <w:sz w:val="30"/>
          <w:szCs w:val="30"/>
        </w:rPr>
      </w:pPr>
      <w:r>
        <w:rPr>
          <w:sz w:val="30"/>
          <w:szCs w:val="30"/>
        </w:rPr>
        <w:t>(по списку)</w:t>
      </w:r>
    </w:p>
    <w:p w14:paraId="20C7205B" w14:textId="77777777" w:rsidR="004E27A0" w:rsidRDefault="004E27A0" w:rsidP="007137DF">
      <w:pPr>
        <w:tabs>
          <w:tab w:val="left" w:pos="5954"/>
        </w:tabs>
        <w:spacing w:after="240" w:line="280" w:lineRule="exact"/>
        <w:ind w:left="4536" w:right="142"/>
        <w:jc w:val="both"/>
        <w:rPr>
          <w:sz w:val="30"/>
          <w:szCs w:val="30"/>
        </w:rPr>
      </w:pPr>
      <w:r>
        <w:rPr>
          <w:sz w:val="30"/>
          <w:szCs w:val="30"/>
        </w:rPr>
        <w:t>Учреждения образования (по списку)</w:t>
      </w:r>
    </w:p>
    <w:p w14:paraId="1767495A" w14:textId="2239B485"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 xml:space="preserve">Инструкция по организации и проведению централизованного экзамена, утвержденная постановлением Министерства образования </w:t>
      </w:r>
      <w:r>
        <w:rPr>
          <w:sz w:val="30"/>
          <w:szCs w:val="30"/>
        </w:rPr>
        <w:lastRenderedPageBreak/>
        <w:t>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2CBD71E"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415663" w:rsidRPr="00A50242">
        <w:rPr>
          <w:b/>
          <w:sz w:val="30"/>
          <w:szCs w:val="30"/>
        </w:rPr>
        <w:t xml:space="preserve">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lastRenderedPageBreak/>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77730138"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68C0F6A5"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14:paraId="08118BBE"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14:paraId="52744A88" w14:textId="56AF8F86" w:rsidR="00C3086F" w:rsidRPr="00753DD0" w:rsidRDefault="00C3086F" w:rsidP="00C3086F">
      <w:pPr>
        <w:ind w:firstLine="708"/>
        <w:jc w:val="both"/>
        <w:rPr>
          <w:sz w:val="30"/>
          <w:szCs w:val="30"/>
        </w:rPr>
      </w:pPr>
      <w:r w:rsidRPr="00C3086F">
        <w:rPr>
          <w:rFonts w:eastAsiaTheme="minorHAnsi"/>
          <w:bCs/>
          <w:sz w:val="30"/>
          <w:szCs w:val="30"/>
          <w:lang w:eastAsia="en-US"/>
        </w:rPr>
        <w:lastRenderedPageBreak/>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77777777"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проводятся по следующим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77777777"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lastRenderedPageBreak/>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2494789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7E7833DA" w14:textId="5B845750"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 xml:space="preserve">илеты размещены на </w:t>
      </w:r>
      <w:bookmarkStart w:id="1" w:name="_Hlk157507407"/>
      <w:r w:rsidR="00E93FA6" w:rsidRPr="00E06DCF">
        <w:rPr>
          <w:sz w:val="30"/>
          <w:szCs w:val="30"/>
        </w:rPr>
        <w:t>национальном образовательном портале</w:t>
      </w:r>
      <w:r w:rsidR="00FA58D5" w:rsidRPr="00E06DCF">
        <w:t xml:space="preserve"> </w:t>
      </w:r>
      <w:r w:rsidR="007137DF" w:rsidRPr="00857590">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r w:rsidR="00B6447D" w:rsidRPr="00E06DCF">
        <w:t xml:space="preserve"> </w:t>
      </w:r>
      <w:bookmarkEnd w:id="1"/>
    </w:p>
    <w:p w14:paraId="44E4EAD5" w14:textId="79FED244"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31708979"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2" w:name="_Hlk157526404"/>
      <w:r w:rsidR="007137DF" w:rsidRPr="003062B2">
        <w:rPr>
          <w:sz w:val="30"/>
          <w:szCs w:val="30"/>
        </w:rPr>
        <w:t>(</w:t>
      </w:r>
      <w:r w:rsidR="00B6447D" w:rsidRPr="003062B2">
        <w:rPr>
          <w:rStyle w:val="rynqvb"/>
          <w:i/>
          <w:iCs/>
          <w:sz w:val="30"/>
          <w:szCs w:val="30"/>
        </w:rPr>
        <w:t>Главная / Информация для педагогов</w:t>
      </w:r>
      <w:r w:rsidR="007137DF" w:rsidRPr="003062B2">
        <w:rPr>
          <w:rStyle w:val="rynqvb"/>
          <w:i/>
          <w:iCs/>
          <w:sz w:val="30"/>
          <w:szCs w:val="30"/>
        </w:rPr>
        <w:t xml:space="preserve"> </w:t>
      </w:r>
      <w:r w:rsidR="00B6447D" w:rsidRPr="003062B2">
        <w:rPr>
          <w:rStyle w:val="rynqvb"/>
          <w:i/>
          <w:iCs/>
          <w:sz w:val="30"/>
          <w:szCs w:val="30"/>
        </w:rPr>
        <w:t>/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2"/>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 xml:space="preserve">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w:t>
      </w:r>
      <w:r>
        <w:rPr>
          <w:i/>
          <w:sz w:val="30"/>
          <w:szCs w:val="30"/>
        </w:rPr>
        <w:lastRenderedPageBreak/>
        <w:t>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77777777"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4"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4"/>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636"/>
        <w:gridCol w:w="1985"/>
        <w:gridCol w:w="4104"/>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w:t>
            </w:r>
            <w:r w:rsidRPr="00E62025">
              <w:rPr>
                <w:sz w:val="26"/>
                <w:lang w:val="be-BY"/>
              </w:rPr>
              <w:lastRenderedPageBreak/>
              <w:t xml:space="preserve">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636"/>
        <w:gridCol w:w="1933"/>
        <w:gridCol w:w="4322"/>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6" w:name="_Hlk157524481"/>
            <w:r>
              <w:rPr>
                <w:sz w:val="26"/>
                <w:szCs w:val="26"/>
              </w:rPr>
              <w:lastRenderedPageBreak/>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lastRenderedPageBreak/>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4266938B" w14:textId="74DFD526"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14:paraId="10FB1AE4" w14:textId="74E03EAA"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w:t>
      </w:r>
      <w:r w:rsidR="00EC7BFF">
        <w:rPr>
          <w:sz w:val="30"/>
          <w:szCs w:val="30"/>
        </w:rPr>
        <w:lastRenderedPageBreak/>
        <w:t xml:space="preserve">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lastRenderedPageBreak/>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13F9DE9D"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1107FA">
        <w:rPr>
          <w:rStyle w:val="rynqvb"/>
          <w:sz w:val="30"/>
          <w:szCs w:val="30"/>
        </w:rPr>
        <w:t xml:space="preserve"> </w:t>
      </w:r>
      <w:r w:rsidR="000A4899"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0A4899" w:rsidRPr="00857590">
        <w:rPr>
          <w:rStyle w:val="rynqvb"/>
          <w:i/>
          <w:iCs/>
          <w:sz w:val="30"/>
          <w:szCs w:val="30"/>
        </w:rPr>
        <w:t>/ Итоговые и вступительные испытания</w:t>
      </w:r>
      <w:r w:rsidR="007137DF">
        <w:rPr>
          <w:rStyle w:val="rynqvb"/>
          <w:i/>
          <w:iCs/>
          <w:sz w:val="30"/>
          <w:szCs w:val="30"/>
        </w:rPr>
        <w:t>)</w:t>
      </w:r>
      <w:r w:rsidR="000A4899" w:rsidRPr="00B6447D">
        <w:rPr>
          <w:rStyle w:val="rynqvb"/>
          <w:i/>
          <w:iCs/>
          <w:sz w:val="30"/>
          <w:szCs w:val="30"/>
        </w:rPr>
        <w:t>.</w:t>
      </w:r>
    </w:p>
    <w:p w14:paraId="17F89B1F" w14:textId="3D824A7F"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w:t>
      </w:r>
      <w:r w:rsidRPr="00857590">
        <w:rPr>
          <w:rStyle w:val="rynqvb"/>
          <w:sz w:val="30"/>
          <w:szCs w:val="30"/>
        </w:rPr>
        <w:lastRenderedPageBreak/>
        <w:t>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353B32ED"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Pr="00390E5D">
        <w:rPr>
          <w:i/>
          <w:sz w:val="30"/>
          <w:szCs w:val="30"/>
        </w:rPr>
        <w:t xml:space="preserve"> </w:t>
      </w:r>
      <w:r w:rsidR="007137DF" w:rsidRPr="00857590">
        <w:rPr>
          <w:i/>
          <w:sz w:val="30"/>
          <w:szCs w:val="30"/>
        </w:rPr>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Pr>
          <w:rStyle w:val="rynqvb"/>
          <w:i/>
          <w:iCs/>
          <w:sz w:val="30"/>
          <w:szCs w:val="30"/>
        </w:rPr>
        <w:t>)</w:t>
      </w:r>
      <w:r w:rsidR="00B6447D" w:rsidRPr="00B6447D">
        <w:rPr>
          <w:rStyle w:val="rynqvb"/>
          <w:i/>
          <w:iCs/>
          <w:sz w:val="30"/>
          <w:szCs w:val="30"/>
        </w:rPr>
        <w:t>.</w:t>
      </w:r>
      <w:r w:rsidR="00B6447D" w:rsidRPr="00E06DCF">
        <w:t xml:space="preserve"> </w:t>
      </w:r>
    </w:p>
    <w:p w14:paraId="7BCF7DDB" w14:textId="639A707C"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 xml:space="preserve">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w:t>
      </w:r>
      <w:r w:rsidR="00B63428" w:rsidRPr="007634DC">
        <w:rPr>
          <w:sz w:val="30"/>
          <w:szCs w:val="30"/>
        </w:rPr>
        <w:lastRenderedPageBreak/>
        <w:t>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 xml:space="preserve">материалов для выпускного экзамена по учебному предмету «Русский язык» за период обучения и воспитания на III ступени общего среднего </w:t>
      </w:r>
      <w:r w:rsidR="0062549F" w:rsidRPr="00390E5D">
        <w:rPr>
          <w:i/>
          <w:sz w:val="30"/>
          <w:szCs w:val="30"/>
        </w:rPr>
        <w:lastRenderedPageBreak/>
        <w:t>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 xml:space="preserve">Правил проведения аттестации учащихся). Приложениями 26, 27 к Правилам </w:t>
      </w:r>
      <w:r w:rsidR="0047332B">
        <w:rPr>
          <w:sz w:val="30"/>
          <w:szCs w:val="30"/>
        </w:rPr>
        <w:lastRenderedPageBreak/>
        <w:t>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r w:rsidRPr="00871DC0">
        <w:rPr>
          <w:b/>
          <w:i/>
          <w:color w:val="FF0000"/>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6E3098FA" w:rsidR="002911A8" w:rsidRDefault="002911A8" w:rsidP="002911A8">
      <w:pPr>
        <w:tabs>
          <w:tab w:val="left" w:pos="709"/>
        </w:tabs>
        <w:ind w:firstLine="709"/>
        <w:jc w:val="both"/>
        <w:rPr>
          <w:b/>
          <w:i/>
          <w:sz w:val="30"/>
          <w:szCs w:val="30"/>
        </w:rPr>
      </w:pPr>
      <w:r w:rsidRPr="00F75CA8">
        <w:rPr>
          <w:sz w:val="30"/>
          <w:szCs w:val="30"/>
        </w:rPr>
        <w:lastRenderedPageBreak/>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9" w:name="_Hlk157503254"/>
      <w:r w:rsidRPr="00C930DA">
        <w:rPr>
          <w:sz w:val="30"/>
          <w:szCs w:val="30"/>
        </w:rPr>
        <w:t>202</w:t>
      </w:r>
      <w:r w:rsidR="00722674" w:rsidRPr="00C930DA">
        <w:rPr>
          <w:sz w:val="30"/>
          <w:szCs w:val="30"/>
        </w:rPr>
        <w:t>5</w:t>
      </w:r>
      <w:r w:rsidRPr="00C930DA">
        <w:rPr>
          <w:sz w:val="30"/>
          <w:szCs w:val="30"/>
        </w:rPr>
        <w:t> </w:t>
      </w:r>
      <w:bookmarkEnd w:id="9"/>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9"/>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978C" w14:textId="77777777" w:rsidR="003C6FA0" w:rsidRDefault="003C6FA0" w:rsidP="00C32944">
      <w:r>
        <w:separator/>
      </w:r>
    </w:p>
  </w:endnote>
  <w:endnote w:type="continuationSeparator" w:id="0">
    <w:p w14:paraId="17F53AFE" w14:textId="77777777" w:rsidR="003C6FA0" w:rsidRDefault="003C6FA0"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58E7" w14:textId="77777777" w:rsidR="003C6FA0" w:rsidRDefault="003C6FA0" w:rsidP="00C32944">
      <w:r>
        <w:separator/>
      </w:r>
    </w:p>
  </w:footnote>
  <w:footnote w:type="continuationSeparator" w:id="0">
    <w:p w14:paraId="358EF8F6" w14:textId="77777777" w:rsidR="003C6FA0" w:rsidRDefault="003C6FA0" w:rsidP="00C3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9566"/>
      <w:docPartObj>
        <w:docPartGallery w:val="Page Numbers (Top of Page)"/>
        <w:docPartUnique/>
      </w:docPartObj>
    </w:sdtPr>
    <w:sdtEndPr/>
    <w:sdtContent>
      <w:p w14:paraId="42B8387B" w14:textId="2318CB24" w:rsidR="009B4669" w:rsidRDefault="009B4669" w:rsidP="00C32944">
        <w:pPr>
          <w:pStyle w:val="a8"/>
          <w:jc w:val="center"/>
        </w:pPr>
        <w:r>
          <w:fldChar w:fldCharType="begin"/>
        </w:r>
        <w:r>
          <w:instrText>PAGE   \* MERGEFORMAT</w:instrText>
        </w:r>
        <w:r>
          <w:fldChar w:fldCharType="separate"/>
        </w:r>
        <w:r w:rsidR="003D1258">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C6FA0"/>
    <w:rsid w:val="003D1258"/>
    <w:rsid w:val="003D420F"/>
    <w:rsid w:val="003D5E15"/>
    <w:rsid w:val="003D6B27"/>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2ADF-41BA-4DC9-886E-5754034F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2024-02-14T13:44:00Z</cp:lastPrinted>
  <dcterms:created xsi:type="dcterms:W3CDTF">2024-02-14T13:45:00Z</dcterms:created>
  <dcterms:modified xsi:type="dcterms:W3CDTF">2024-02-14T13:45:00Z</dcterms:modified>
</cp:coreProperties>
</file>